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436D6F" w:rsidRPr="00436D6F" w:rsidTr="003D492E">
        <w:trPr>
          <w:trHeight w:val="1098"/>
        </w:trPr>
        <w:tc>
          <w:tcPr>
            <w:tcW w:w="1809" w:type="dxa"/>
            <w:tcBorders>
              <w:top w:val="nil"/>
              <w:left w:val="nil"/>
              <w:bottom w:val="double" w:sz="4" w:space="0" w:color="auto"/>
              <w:right w:val="nil"/>
            </w:tcBorders>
            <w:hideMark/>
          </w:tcPr>
          <w:p w:rsidR="00436D6F" w:rsidRPr="00436D6F" w:rsidRDefault="00436D6F" w:rsidP="00436D6F">
            <w:pPr>
              <w:tabs>
                <w:tab w:val="center" w:pos="4680"/>
                <w:tab w:val="right" w:pos="9360"/>
              </w:tabs>
              <w:rPr>
                <w:rFonts w:ascii="Calibri" w:eastAsia="Calibri" w:hAnsi="Calibri"/>
                <w:color w:val="0F243E"/>
                <w:lang w:val="en-US" w:eastAsia="ro-RO"/>
              </w:rPr>
            </w:pPr>
            <w:r w:rsidRPr="00436D6F">
              <w:rPr>
                <w:rFonts w:ascii="Calibri" w:eastAsia="Calibri" w:hAnsi="Calibri"/>
                <w:noProof/>
                <w:color w:val="0F243E"/>
                <w:lang w:eastAsia="ro-RO"/>
              </w:rPr>
              <w:drawing>
                <wp:inline distT="0" distB="0" distL="0" distR="0" wp14:anchorId="54866518" wp14:editId="42E13371">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436D6F" w:rsidRPr="00436D6F" w:rsidRDefault="00436D6F" w:rsidP="00436D6F">
            <w:pPr>
              <w:tabs>
                <w:tab w:val="center" w:pos="4680"/>
                <w:tab w:val="right" w:pos="9360"/>
              </w:tabs>
              <w:jc w:val="center"/>
              <w:rPr>
                <w:rFonts w:ascii="Palatino Linotype" w:eastAsia="Calibri" w:hAnsi="Palatino Linotype"/>
                <w:b/>
                <w:color w:val="244061"/>
                <w:sz w:val="24"/>
                <w:szCs w:val="24"/>
                <w:lang w:val="es-ES" w:eastAsia="ro-RO"/>
              </w:rPr>
            </w:pPr>
            <w:r w:rsidRPr="00436D6F">
              <w:rPr>
                <w:rFonts w:ascii="Palatino Linotype" w:eastAsia="Calibri" w:hAnsi="Palatino Linotype"/>
                <w:b/>
                <w:color w:val="244061"/>
                <w:sz w:val="24"/>
                <w:szCs w:val="24"/>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436D6F" w:rsidRPr="00436D6F" w:rsidRDefault="00436D6F" w:rsidP="00436D6F">
            <w:pPr>
              <w:tabs>
                <w:tab w:val="center" w:pos="4680"/>
                <w:tab w:val="right" w:pos="9360"/>
              </w:tabs>
              <w:jc w:val="center"/>
              <w:rPr>
                <w:rFonts w:ascii="Calibri" w:eastAsia="Calibri" w:hAnsi="Calibri"/>
                <w:color w:val="0F243E"/>
                <w:lang w:val="en-US" w:eastAsia="ro-RO"/>
              </w:rPr>
            </w:pPr>
            <w:r w:rsidRPr="00436D6F">
              <w:rPr>
                <w:rFonts w:ascii="Calibri" w:eastAsia="Calibri" w:hAnsi="Calibri"/>
                <w:noProof/>
                <w:color w:val="0F243E"/>
                <w:lang w:eastAsia="ro-RO"/>
              </w:rPr>
              <w:drawing>
                <wp:inline distT="0" distB="0" distL="0" distR="0" wp14:anchorId="547F5B34" wp14:editId="34DABBF9">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436D6F">
              <w:rPr>
                <w:rFonts w:ascii="Calibri" w:eastAsia="Calibri" w:hAnsi="Calibri"/>
                <w:noProof/>
                <w:color w:val="0F243E"/>
                <w:lang w:eastAsia="ro-RO"/>
              </w:rPr>
              <w:drawing>
                <wp:anchor distT="0" distB="0" distL="114300" distR="114300" simplePos="0" relativeHeight="251659264" behindDoc="0" locked="0" layoutInCell="1" allowOverlap="1" wp14:anchorId="466A1061" wp14:editId="6E0339AB">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36D6F" w:rsidRPr="00436D6F" w:rsidRDefault="00436D6F" w:rsidP="00436D6F">
      <w:pPr>
        <w:spacing w:after="160" w:line="256" w:lineRule="auto"/>
        <w:rPr>
          <w:rFonts w:ascii="Calibri" w:eastAsia="Calibri" w:hAnsi="Calibri" w:cs="Times New Roman"/>
        </w:rPr>
      </w:pP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r w:rsidRPr="00436D6F">
        <w:rPr>
          <w:rFonts w:ascii="Calibri" w:eastAsia="Calibri" w:hAnsi="Calibri" w:cs="Times New Roman"/>
        </w:rPr>
        <w:tab/>
      </w:r>
    </w:p>
    <w:p w:rsidR="00AF7812" w:rsidRDefault="00AF7812" w:rsidP="0095796B">
      <w:pPr>
        <w:jc w:val="both"/>
        <w:rPr>
          <w:rFonts w:ascii="Arial Narrow" w:hAnsi="Arial Narrow"/>
          <w:b/>
          <w:color w:val="0070C0"/>
          <w:sz w:val="24"/>
          <w:szCs w:val="24"/>
        </w:rPr>
      </w:pPr>
      <w:bookmarkStart w:id="0" w:name="_GoBack"/>
      <w:bookmarkEnd w:id="0"/>
    </w:p>
    <w:p w:rsidR="00AF7812" w:rsidRDefault="00AF7812" w:rsidP="0095796B">
      <w:pPr>
        <w:jc w:val="both"/>
        <w:rPr>
          <w:rFonts w:ascii="Arial Narrow" w:hAnsi="Arial Narrow"/>
          <w:b/>
          <w:color w:val="0070C0"/>
          <w:sz w:val="24"/>
          <w:szCs w:val="24"/>
        </w:rPr>
      </w:pPr>
    </w:p>
    <w:p w:rsidR="00AF7812" w:rsidRDefault="00AF7812" w:rsidP="0095796B">
      <w:pPr>
        <w:jc w:val="both"/>
        <w:rPr>
          <w:rFonts w:ascii="Arial Narrow" w:hAnsi="Arial Narrow"/>
          <w:b/>
          <w:color w:val="0070C0"/>
          <w:sz w:val="24"/>
          <w:szCs w:val="24"/>
        </w:rPr>
      </w:pPr>
    </w:p>
    <w:p w:rsidR="0095796B" w:rsidRDefault="0095796B" w:rsidP="00AF7812">
      <w:pPr>
        <w:jc w:val="center"/>
        <w:rPr>
          <w:rFonts w:ascii="Arial Narrow" w:hAnsi="Arial Narrow"/>
          <w:b/>
          <w:color w:val="0070C0"/>
          <w:sz w:val="24"/>
          <w:szCs w:val="24"/>
        </w:rPr>
      </w:pPr>
      <w:r w:rsidRPr="0095796B">
        <w:rPr>
          <w:rFonts w:ascii="Arial Narrow" w:hAnsi="Arial Narrow"/>
          <w:b/>
          <w:color w:val="0070C0"/>
          <w:sz w:val="24"/>
          <w:szCs w:val="24"/>
        </w:rPr>
        <w:t>DIRIGENTIA</w:t>
      </w:r>
    </w:p>
    <w:p w:rsidR="00AF7812" w:rsidRPr="0095796B" w:rsidRDefault="00AF7812" w:rsidP="00AF7812">
      <w:pPr>
        <w:spacing w:after="100" w:afterAutospacing="1"/>
        <w:jc w:val="center"/>
        <w:rPr>
          <w:rFonts w:ascii="Arial Narrow" w:hAnsi="Arial Narrow"/>
          <w:b/>
          <w:color w:val="0070C0"/>
          <w:sz w:val="24"/>
          <w:szCs w:val="24"/>
        </w:rPr>
      </w:pPr>
    </w:p>
    <w:p w:rsidR="008A26F0" w:rsidRPr="008A26F0" w:rsidRDefault="008A26F0" w:rsidP="008A26F0">
      <w:pPr>
        <w:pStyle w:val="Default"/>
        <w:spacing w:line="360" w:lineRule="auto"/>
        <w:jc w:val="both"/>
        <w:rPr>
          <w:rFonts w:ascii="Arial Narrow" w:hAnsi="Arial Narrow"/>
        </w:rPr>
      </w:pPr>
      <w:r w:rsidRPr="008A26F0">
        <w:rPr>
          <w:rFonts w:ascii="Arial Narrow" w:hAnsi="Arial Narrow"/>
        </w:rPr>
        <w:t xml:space="preserve">Art. 18 (1) Activităţile specifice funcţiei de diriginte se organizează şi se desfăşoară la toate clasele şi formele de învăţământ din învăţământul preuniversitar, în conformitate cu precizările Ministerului Educaţiei şi Cercetării Ştiinţifice. </w:t>
      </w:r>
    </w:p>
    <w:p w:rsidR="008A26F0" w:rsidRPr="008A26F0" w:rsidRDefault="008A26F0" w:rsidP="008A26F0">
      <w:pPr>
        <w:pStyle w:val="Default"/>
        <w:spacing w:line="360" w:lineRule="auto"/>
        <w:jc w:val="both"/>
        <w:rPr>
          <w:rFonts w:ascii="Arial Narrow" w:hAnsi="Arial Narrow"/>
        </w:rPr>
      </w:pPr>
      <w:r w:rsidRPr="008A26F0">
        <w:rPr>
          <w:rFonts w:ascii="Arial Narrow" w:hAnsi="Arial Narrow"/>
        </w:rPr>
        <w:t xml:space="preserve">(2) Profesorii consilieri din cabinetele de asistenţă </w:t>
      </w:r>
      <w:proofErr w:type="spellStart"/>
      <w:r w:rsidRPr="008A26F0">
        <w:rPr>
          <w:rFonts w:ascii="Arial Narrow" w:hAnsi="Arial Narrow"/>
        </w:rPr>
        <w:t>psihopedagogică</w:t>
      </w:r>
      <w:proofErr w:type="spellEnd"/>
      <w:r w:rsidRPr="008A26F0">
        <w:rPr>
          <w:rFonts w:ascii="Arial Narrow" w:hAnsi="Arial Narrow"/>
        </w:rPr>
        <w:t xml:space="preserve"> pot îndeplini funcţia de diriginte la solicitarea conducerilor unităţilor de învăţământ în care îşi desfăşoară activitatea. </w:t>
      </w:r>
    </w:p>
    <w:p w:rsidR="008A26F0" w:rsidRPr="008A26F0" w:rsidRDefault="008A26F0" w:rsidP="008A26F0">
      <w:pPr>
        <w:pStyle w:val="Default"/>
        <w:spacing w:line="360" w:lineRule="auto"/>
        <w:jc w:val="both"/>
        <w:rPr>
          <w:rFonts w:ascii="Arial Narrow" w:hAnsi="Arial Narrow"/>
        </w:rPr>
      </w:pPr>
      <w:r w:rsidRPr="008A26F0">
        <w:rPr>
          <w:rFonts w:ascii="Arial Narrow" w:hAnsi="Arial Narrow"/>
        </w:rPr>
        <w:t xml:space="preserve">(3) Personalul didactic de conducere, de îndrumare şi control nu poate îndeplini funcţia de diriginte, nu poate efectua ore de consiliere şi orientare vocaţională şi nici ore de dirigenţie. În situaţii excepţionale, când la nivelul unei unităţi de învăţământ nu există suficiente cadre didactice calificate titulare sau angajate cu contract individual de muncă pe perioadă determinată, personalul didactic de conducere şi personalul didactic de îndrumare şi control numit în funcţie cu jumătate de normă poate îndeplini şi funcţia de diriginte, la propunerea consiliului de administraţie al unităţii de învăţământ şi aprobarea consiliului de administraţie al inspectoratului şcolar. </w:t>
      </w:r>
    </w:p>
    <w:p w:rsidR="008A26F0" w:rsidRPr="008A26F0" w:rsidRDefault="008A26F0" w:rsidP="008A26F0">
      <w:pPr>
        <w:pStyle w:val="Default"/>
        <w:spacing w:line="360" w:lineRule="auto"/>
        <w:jc w:val="both"/>
        <w:rPr>
          <w:rFonts w:ascii="Arial Narrow" w:hAnsi="Arial Narrow"/>
        </w:rPr>
      </w:pPr>
      <w:r w:rsidRPr="008A26F0">
        <w:rPr>
          <w:rFonts w:ascii="Arial Narrow" w:hAnsi="Arial Narrow"/>
        </w:rPr>
        <w:t xml:space="preserve">(4) Indemnizaţia pentru activitatea de dirigenţie sau de consiliere şi orientare vocaţională se acordă, conform reglementărilor în vigoare, la toate formele de învăţământ. La forma de învăţământ cu frecvenţă redusă indemnizaţia pentru activitatea de dirigenţie sau consiliere şi orientare vocaţională, conform prevederilor legale în vigoare, se acordă numai pentru lunile în care se organizează sesiunile de predare-evaluare. Fiecare cadru didactic care desfăşoară activităţi de diriginte beneficiază de o singură indemnizaţie de 10% aplicată salariului de bază, calculată conform prevederilor legale. </w:t>
      </w:r>
    </w:p>
    <w:p w:rsidR="00AE0B4E" w:rsidRPr="008A26F0" w:rsidRDefault="008A26F0" w:rsidP="008A26F0">
      <w:pPr>
        <w:spacing w:line="360" w:lineRule="auto"/>
        <w:jc w:val="both"/>
        <w:rPr>
          <w:rFonts w:ascii="Arial Narrow" w:hAnsi="Arial Narrow"/>
          <w:sz w:val="24"/>
          <w:szCs w:val="24"/>
        </w:rPr>
      </w:pPr>
      <w:r w:rsidRPr="008A26F0">
        <w:rPr>
          <w:rFonts w:ascii="Arial Narrow" w:hAnsi="Arial Narrow"/>
          <w:sz w:val="24"/>
          <w:szCs w:val="24"/>
        </w:rPr>
        <w:t>(5) Învăţătorii, institutorii şi profesorii pentru învăţământul primar, care îndeplinesc funcţii de conducere la nivelul unităţilor de învăţământ, de director sau de director adjunct, beneficiază fără niciun alt demers administrativ, în mod automat, atât de indemnizaţia de conducere, cât şi de indemnizaţia ce se acordă personalului didactic de predare care îndeplineşte funcţia de diriginte, învăţătorilor, educatoarelor, institutorilor şi profesorilor pentru învăţământul preşcolar şi primar, indemnizaţia fiind de 10% aplicată salariului de bază, calculată conform prevederilor legale.</w:t>
      </w:r>
    </w:p>
    <w:sectPr w:rsidR="00AE0B4E" w:rsidRPr="008A26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96B"/>
    <w:rsid w:val="00436D6F"/>
    <w:rsid w:val="008A26F0"/>
    <w:rsid w:val="0095796B"/>
    <w:rsid w:val="00AE0B4E"/>
    <w:rsid w:val="00AF7812"/>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96B"/>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AF7812"/>
    <w:pPr>
      <w:tabs>
        <w:tab w:val="center" w:pos="4536"/>
        <w:tab w:val="right" w:pos="9072"/>
      </w:tabs>
      <w:spacing w:after="0" w:line="240" w:lineRule="auto"/>
    </w:pPr>
  </w:style>
  <w:style w:type="character" w:customStyle="1" w:styleId="AntetCaracter">
    <w:name w:val="Antet Caracter"/>
    <w:basedOn w:val="Fontdeparagrafimplicit"/>
    <w:link w:val="Antet"/>
    <w:rsid w:val="00AF7812"/>
  </w:style>
  <w:style w:type="paragraph" w:customStyle="1" w:styleId="Default">
    <w:name w:val="Default"/>
    <w:rsid w:val="008A26F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lTabel1">
    <w:name w:val="Grilă Tabel1"/>
    <w:basedOn w:val="TabelNormal"/>
    <w:rsid w:val="00436D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436D6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6D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96B"/>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AF7812"/>
    <w:pPr>
      <w:tabs>
        <w:tab w:val="center" w:pos="4536"/>
        <w:tab w:val="right" w:pos="9072"/>
      </w:tabs>
      <w:spacing w:after="0" w:line="240" w:lineRule="auto"/>
    </w:pPr>
  </w:style>
  <w:style w:type="character" w:customStyle="1" w:styleId="AntetCaracter">
    <w:name w:val="Antet Caracter"/>
    <w:basedOn w:val="Fontdeparagrafimplicit"/>
    <w:link w:val="Antet"/>
    <w:rsid w:val="00AF7812"/>
  </w:style>
  <w:style w:type="paragraph" w:customStyle="1" w:styleId="Default">
    <w:name w:val="Default"/>
    <w:rsid w:val="008A26F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lTabel1">
    <w:name w:val="Grilă Tabel1"/>
    <w:basedOn w:val="TabelNormal"/>
    <w:rsid w:val="00436D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436D6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36D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351</Words>
  <Characters>2042</Characters>
  <Application>Microsoft Office Word</Application>
  <DocSecurity>0</DocSecurity>
  <Lines>17</Lines>
  <Paragraphs>4</Paragraphs>
  <ScaleCrop>false</ScaleCrop>
  <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2015-01-20T09:44:00Z</dcterms:created>
  <dcterms:modified xsi:type="dcterms:W3CDTF">2016-02-18T12:59:00Z</dcterms:modified>
</cp:coreProperties>
</file>